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144" w:rsidRDefault="005B4144" w:rsidP="005B4144">
      <w:pPr>
        <w:spacing w:line="240" w:lineRule="auto"/>
        <w:rPr>
          <w:rFonts w:ascii="Times New Roman" w:hAnsi="Times New Roman" w:cs="Times New Roman"/>
          <w:sz w:val="24"/>
          <w:szCs w:val="24"/>
        </w:rPr>
      </w:pPr>
      <w:r w:rsidRPr="001663AC">
        <w:rPr>
          <w:rFonts w:ascii="Times New Roman" w:hAnsi="Times New Roman" w:cs="Times New Roman"/>
          <w:sz w:val="24"/>
          <w:szCs w:val="24"/>
          <w:u w:val="single"/>
        </w:rPr>
        <w:t>Biomechanics Laboratory</w:t>
      </w:r>
      <w:r w:rsidRPr="001663AC">
        <w:rPr>
          <w:rFonts w:ascii="Times New Roman" w:hAnsi="Times New Roman" w:cs="Times New Roman"/>
          <w:sz w:val="24"/>
          <w:szCs w:val="24"/>
        </w:rPr>
        <w:t xml:space="preserve">: The Biomechanics Laboratory is housed in the 3000-square-foot Sports Injury Research facility on the UNLV campus. The Biomechanics Laboratory is equipped with a accelerometers, </w:t>
      </w:r>
      <w:proofErr w:type="spellStart"/>
      <w:r w:rsidRPr="001663AC">
        <w:rPr>
          <w:rFonts w:ascii="Times New Roman" w:hAnsi="Times New Roman" w:cs="Times New Roman"/>
          <w:sz w:val="24"/>
          <w:szCs w:val="24"/>
        </w:rPr>
        <w:t>electrogoniometers</w:t>
      </w:r>
      <w:proofErr w:type="spellEnd"/>
      <w:r w:rsidRPr="001663AC">
        <w:rPr>
          <w:rFonts w:ascii="Times New Roman" w:hAnsi="Times New Roman" w:cs="Times New Roman"/>
          <w:sz w:val="24"/>
          <w:szCs w:val="24"/>
        </w:rPr>
        <w:t xml:space="preserve">, sports radar gun with external LED display, </w:t>
      </w:r>
      <w:r>
        <w:rPr>
          <w:rFonts w:ascii="Times New Roman" w:hAnsi="Times New Roman" w:cs="Times New Roman"/>
          <w:sz w:val="24"/>
          <w:szCs w:val="24"/>
        </w:rPr>
        <w:t xml:space="preserve">an </w:t>
      </w:r>
      <w:r w:rsidRPr="001663AC">
        <w:rPr>
          <w:rFonts w:ascii="Times New Roman" w:hAnsi="Times New Roman" w:cs="Times New Roman"/>
          <w:sz w:val="24"/>
          <w:szCs w:val="24"/>
        </w:rPr>
        <w:t xml:space="preserve">8-channel tethered electromyography system, </w:t>
      </w:r>
      <w:r>
        <w:rPr>
          <w:rFonts w:ascii="Times New Roman" w:hAnsi="Times New Roman" w:cs="Times New Roman"/>
          <w:sz w:val="24"/>
          <w:szCs w:val="24"/>
        </w:rPr>
        <w:t xml:space="preserve">multiple </w:t>
      </w:r>
      <w:r w:rsidRPr="001663AC">
        <w:rPr>
          <w:rFonts w:ascii="Times New Roman" w:hAnsi="Times New Roman" w:cs="Times New Roman"/>
          <w:sz w:val="24"/>
          <w:szCs w:val="24"/>
        </w:rPr>
        <w:t>8-channel telemetry electromyography system</w:t>
      </w:r>
      <w:r>
        <w:rPr>
          <w:rFonts w:ascii="Times New Roman" w:hAnsi="Times New Roman" w:cs="Times New Roman"/>
          <w:sz w:val="24"/>
          <w:szCs w:val="24"/>
        </w:rPr>
        <w:t>s</w:t>
      </w:r>
      <w:r w:rsidRPr="001663AC">
        <w:rPr>
          <w:rFonts w:ascii="Times New Roman" w:hAnsi="Times New Roman" w:cs="Times New Roman"/>
          <w:sz w:val="24"/>
          <w:szCs w:val="24"/>
        </w:rPr>
        <w:t xml:space="preserve">, </w:t>
      </w:r>
      <w:r>
        <w:rPr>
          <w:rFonts w:ascii="Times New Roman" w:hAnsi="Times New Roman" w:cs="Times New Roman"/>
          <w:sz w:val="24"/>
          <w:szCs w:val="24"/>
        </w:rPr>
        <w:t>3 multi-camera (9-12)</w:t>
      </w:r>
      <w:r w:rsidRPr="001663AC">
        <w:rPr>
          <w:rFonts w:ascii="Times New Roman" w:hAnsi="Times New Roman" w:cs="Times New Roman"/>
          <w:sz w:val="24"/>
          <w:szCs w:val="24"/>
        </w:rPr>
        <w:t xml:space="preserve"> 3D motion capture system, a dual force platform system with interchangeable platform configurations, </w:t>
      </w:r>
      <w:r>
        <w:rPr>
          <w:rFonts w:ascii="Times New Roman" w:hAnsi="Times New Roman" w:cs="Times New Roman"/>
          <w:sz w:val="24"/>
          <w:szCs w:val="24"/>
        </w:rPr>
        <w:t xml:space="preserve">force instrumented treadmill, swim-trainer ergometer, </w:t>
      </w:r>
      <w:r w:rsidRPr="001663AC">
        <w:rPr>
          <w:rFonts w:ascii="Times New Roman" w:hAnsi="Times New Roman" w:cs="Times New Roman"/>
          <w:sz w:val="24"/>
          <w:szCs w:val="24"/>
        </w:rPr>
        <w:t xml:space="preserve">and a 64-channel A/D board with </w:t>
      </w:r>
      <w:proofErr w:type="spellStart"/>
      <w:r w:rsidRPr="001663AC">
        <w:rPr>
          <w:rFonts w:ascii="Times New Roman" w:hAnsi="Times New Roman" w:cs="Times New Roman"/>
          <w:sz w:val="24"/>
          <w:szCs w:val="24"/>
        </w:rPr>
        <w:t>BioWare</w:t>
      </w:r>
      <w:proofErr w:type="spellEnd"/>
      <w:r w:rsidRPr="001663AC">
        <w:rPr>
          <w:rFonts w:ascii="Times New Roman" w:hAnsi="Times New Roman" w:cs="Times New Roman"/>
          <w:sz w:val="24"/>
          <w:szCs w:val="24"/>
        </w:rPr>
        <w:t xml:space="preserve"> version 4.0 data acquisition software, an isokinetic dynamometer, a portable instrumented walkway, a portable balance assessment platform, mechanical impact tester, </w:t>
      </w:r>
      <w:proofErr w:type="spellStart"/>
      <w:r w:rsidRPr="001663AC">
        <w:rPr>
          <w:rFonts w:ascii="Times New Roman" w:hAnsi="Times New Roman" w:cs="Times New Roman"/>
          <w:sz w:val="24"/>
          <w:szCs w:val="24"/>
        </w:rPr>
        <w:t>bioimpedance</w:t>
      </w:r>
      <w:proofErr w:type="spellEnd"/>
      <w:r w:rsidRPr="001663AC">
        <w:rPr>
          <w:rFonts w:ascii="Times New Roman" w:hAnsi="Times New Roman" w:cs="Times New Roman"/>
          <w:sz w:val="24"/>
          <w:szCs w:val="24"/>
        </w:rPr>
        <w:t xml:space="preserve"> body composition scale, </w:t>
      </w:r>
      <w:r>
        <w:rPr>
          <w:rFonts w:ascii="Times New Roman" w:hAnsi="Times New Roman" w:cs="Times New Roman"/>
          <w:sz w:val="24"/>
          <w:szCs w:val="24"/>
        </w:rPr>
        <w:t xml:space="preserve">metabolic cart, </w:t>
      </w:r>
      <w:r w:rsidRPr="001663AC">
        <w:rPr>
          <w:rFonts w:ascii="Times New Roman" w:hAnsi="Times New Roman" w:cs="Times New Roman"/>
          <w:sz w:val="24"/>
          <w:szCs w:val="24"/>
        </w:rPr>
        <w:t xml:space="preserve">and other related ancillary instruments and exercise equipment. The laboratory has a 30-meter unobstructed walkway for use during gait assessment. </w:t>
      </w:r>
    </w:p>
    <w:p w:rsidR="005B4144" w:rsidRPr="00B75137" w:rsidRDefault="005B4144" w:rsidP="005B4144">
      <w:pPr>
        <w:shd w:val="clear" w:color="auto" w:fill="FFFFFF"/>
        <w:spacing w:after="0" w:line="240" w:lineRule="auto"/>
        <w:rPr>
          <w:rFonts w:ascii="Times New Roman" w:eastAsia="Times New Roman" w:hAnsi="Times New Roman" w:cs="Times New Roman"/>
          <w:color w:val="222222"/>
          <w:sz w:val="24"/>
          <w:szCs w:val="24"/>
        </w:rPr>
      </w:pPr>
      <w:r w:rsidRPr="00B75137">
        <w:rPr>
          <w:rFonts w:ascii="Times New Roman" w:eastAsia="Times New Roman" w:hAnsi="Times New Roman" w:cs="Times New Roman"/>
          <w:color w:val="222222"/>
          <w:sz w:val="24"/>
          <w:szCs w:val="24"/>
          <w:u w:val="single"/>
        </w:rPr>
        <w:t>Exercise Physiology Laboratory</w:t>
      </w:r>
      <w:r w:rsidRPr="00B75137">
        <w:rPr>
          <w:rFonts w:ascii="Times New Roman" w:eastAsia="Times New Roman" w:hAnsi="Times New Roman" w:cs="Times New Roman"/>
          <w:color w:val="222222"/>
          <w:sz w:val="24"/>
          <w:szCs w:val="24"/>
        </w:rPr>
        <w:t xml:space="preserve">: The main laboratory is 2300 </w:t>
      </w:r>
      <w:proofErr w:type="spellStart"/>
      <w:r w:rsidRPr="00B75137">
        <w:rPr>
          <w:rFonts w:ascii="Times New Roman" w:eastAsia="Times New Roman" w:hAnsi="Times New Roman" w:cs="Times New Roman"/>
          <w:color w:val="222222"/>
          <w:sz w:val="24"/>
          <w:szCs w:val="24"/>
        </w:rPr>
        <w:t>sq</w:t>
      </w:r>
      <w:proofErr w:type="spellEnd"/>
      <w:r w:rsidRPr="00B75137">
        <w:rPr>
          <w:rFonts w:ascii="Times New Roman" w:eastAsia="Times New Roman" w:hAnsi="Times New Roman" w:cs="Times New Roman"/>
          <w:color w:val="222222"/>
          <w:sz w:val="24"/>
          <w:szCs w:val="24"/>
        </w:rPr>
        <w:t xml:space="preserve"> </w:t>
      </w:r>
      <w:proofErr w:type="spellStart"/>
      <w:r w:rsidRPr="00B75137">
        <w:rPr>
          <w:rFonts w:ascii="Times New Roman" w:eastAsia="Times New Roman" w:hAnsi="Times New Roman" w:cs="Times New Roman"/>
          <w:color w:val="222222"/>
          <w:sz w:val="24"/>
          <w:szCs w:val="24"/>
        </w:rPr>
        <w:t>ft</w:t>
      </w:r>
      <w:proofErr w:type="spellEnd"/>
      <w:r w:rsidRPr="00B75137">
        <w:rPr>
          <w:rFonts w:ascii="Times New Roman" w:eastAsia="Times New Roman" w:hAnsi="Times New Roman" w:cs="Times New Roman"/>
          <w:color w:val="222222"/>
          <w:sz w:val="24"/>
          <w:szCs w:val="24"/>
        </w:rPr>
        <w:t xml:space="preserve"> and is used for evaluating human performance and body composition evaluation. Equipment used for human performance includes </w:t>
      </w:r>
      <w:proofErr w:type="spellStart"/>
      <w:r w:rsidRPr="00B75137">
        <w:rPr>
          <w:rFonts w:ascii="Times New Roman" w:eastAsia="Times New Roman" w:hAnsi="Times New Roman" w:cs="Times New Roman"/>
          <w:color w:val="222222"/>
          <w:sz w:val="24"/>
          <w:szCs w:val="24"/>
        </w:rPr>
        <w:t>Landice</w:t>
      </w:r>
      <w:proofErr w:type="spellEnd"/>
      <w:r w:rsidRPr="00B75137">
        <w:rPr>
          <w:rFonts w:ascii="Times New Roman" w:eastAsia="Times New Roman" w:hAnsi="Times New Roman" w:cs="Times New Roman"/>
          <w:color w:val="222222"/>
          <w:sz w:val="24"/>
          <w:szCs w:val="24"/>
        </w:rPr>
        <w:t xml:space="preserve"> and Nautilus treadmills, </w:t>
      </w:r>
      <w:proofErr w:type="spellStart"/>
      <w:r w:rsidRPr="00B75137">
        <w:rPr>
          <w:rFonts w:ascii="Times New Roman" w:eastAsia="Times New Roman" w:hAnsi="Times New Roman" w:cs="Times New Roman"/>
          <w:color w:val="222222"/>
          <w:sz w:val="24"/>
          <w:szCs w:val="24"/>
        </w:rPr>
        <w:t>Woodway</w:t>
      </w:r>
      <w:proofErr w:type="spellEnd"/>
      <w:r w:rsidRPr="00B75137">
        <w:rPr>
          <w:rFonts w:ascii="Times New Roman" w:eastAsia="Times New Roman" w:hAnsi="Times New Roman" w:cs="Times New Roman"/>
          <w:color w:val="222222"/>
          <w:sz w:val="24"/>
          <w:szCs w:val="24"/>
        </w:rPr>
        <w:t xml:space="preserve"> performance training and rehabilitation </w:t>
      </w:r>
      <w:proofErr w:type="spellStart"/>
      <w:r w:rsidRPr="00B75137">
        <w:rPr>
          <w:rFonts w:ascii="Times New Roman" w:eastAsia="Times New Roman" w:hAnsi="Times New Roman" w:cs="Times New Roman"/>
          <w:color w:val="222222"/>
          <w:sz w:val="24"/>
          <w:szCs w:val="24"/>
        </w:rPr>
        <w:t>Wattbike</w:t>
      </w:r>
      <w:proofErr w:type="spellEnd"/>
      <w:r w:rsidRPr="00B75137">
        <w:rPr>
          <w:rFonts w:ascii="Times New Roman" w:eastAsia="Times New Roman" w:hAnsi="Times New Roman" w:cs="Times New Roman"/>
          <w:color w:val="222222"/>
          <w:sz w:val="24"/>
          <w:szCs w:val="24"/>
        </w:rPr>
        <w:t xml:space="preserve">, </w:t>
      </w:r>
      <w:proofErr w:type="spellStart"/>
      <w:r w:rsidRPr="00B75137">
        <w:rPr>
          <w:rFonts w:ascii="Times New Roman" w:eastAsia="Times New Roman" w:hAnsi="Times New Roman" w:cs="Times New Roman"/>
          <w:color w:val="222222"/>
          <w:sz w:val="24"/>
          <w:szCs w:val="24"/>
        </w:rPr>
        <w:t>Cosmed</w:t>
      </w:r>
      <w:proofErr w:type="spellEnd"/>
      <w:r w:rsidRPr="00B75137">
        <w:rPr>
          <w:rFonts w:ascii="Times New Roman" w:eastAsia="Times New Roman" w:hAnsi="Times New Roman" w:cs="Times New Roman"/>
          <w:color w:val="222222"/>
          <w:sz w:val="24"/>
          <w:szCs w:val="24"/>
        </w:rPr>
        <w:t xml:space="preserve"> k4b2 portable gas analysis system, </w:t>
      </w:r>
      <w:proofErr w:type="spellStart"/>
      <w:r w:rsidRPr="00B75137">
        <w:rPr>
          <w:rFonts w:ascii="Times New Roman" w:eastAsia="Times New Roman" w:hAnsi="Times New Roman" w:cs="Times New Roman"/>
          <w:color w:val="222222"/>
          <w:sz w:val="24"/>
          <w:szCs w:val="24"/>
        </w:rPr>
        <w:t>Hypoxico</w:t>
      </w:r>
      <w:proofErr w:type="spellEnd"/>
      <w:r w:rsidRPr="00B75137">
        <w:rPr>
          <w:rFonts w:ascii="Times New Roman" w:eastAsia="Times New Roman" w:hAnsi="Times New Roman" w:cs="Times New Roman"/>
          <w:color w:val="222222"/>
          <w:sz w:val="24"/>
          <w:szCs w:val="24"/>
        </w:rPr>
        <w:t xml:space="preserve"> high altitude simulator, Quinton electrocardiogram machine, </w:t>
      </w:r>
      <w:proofErr w:type="spellStart"/>
      <w:r w:rsidRPr="00B75137">
        <w:rPr>
          <w:rFonts w:ascii="Times New Roman" w:eastAsia="Times New Roman" w:hAnsi="Times New Roman" w:cs="Times New Roman"/>
          <w:color w:val="222222"/>
          <w:sz w:val="24"/>
          <w:szCs w:val="24"/>
        </w:rPr>
        <w:t>Hexoskin</w:t>
      </w:r>
      <w:proofErr w:type="spellEnd"/>
      <w:r w:rsidRPr="00B75137">
        <w:rPr>
          <w:rFonts w:ascii="Times New Roman" w:eastAsia="Times New Roman" w:hAnsi="Times New Roman" w:cs="Times New Roman"/>
          <w:color w:val="222222"/>
          <w:sz w:val="24"/>
          <w:szCs w:val="24"/>
        </w:rPr>
        <w:t xml:space="preserve"> wearable body metric shirts, OMRON BP742 automated blood pressure devices, </w:t>
      </w:r>
      <w:proofErr w:type="spellStart"/>
      <w:r w:rsidRPr="00B75137">
        <w:rPr>
          <w:rFonts w:ascii="Times New Roman" w:eastAsia="Times New Roman" w:hAnsi="Times New Roman" w:cs="Times New Roman"/>
          <w:color w:val="222222"/>
          <w:sz w:val="24"/>
          <w:szCs w:val="24"/>
        </w:rPr>
        <w:t>Minispir</w:t>
      </w:r>
      <w:proofErr w:type="spellEnd"/>
      <w:r w:rsidRPr="00B75137">
        <w:rPr>
          <w:rFonts w:ascii="Times New Roman" w:eastAsia="Times New Roman" w:hAnsi="Times New Roman" w:cs="Times New Roman"/>
          <w:color w:val="222222"/>
          <w:sz w:val="24"/>
          <w:szCs w:val="24"/>
        </w:rPr>
        <w:t xml:space="preserve"> light spirometer, AEI </w:t>
      </w:r>
      <w:proofErr w:type="spellStart"/>
      <w:r w:rsidRPr="00B75137">
        <w:rPr>
          <w:rFonts w:ascii="Times New Roman" w:eastAsia="Times New Roman" w:hAnsi="Times New Roman" w:cs="Times New Roman"/>
          <w:color w:val="222222"/>
          <w:sz w:val="24"/>
          <w:szCs w:val="24"/>
        </w:rPr>
        <w:t>Moxus</w:t>
      </w:r>
      <w:proofErr w:type="spellEnd"/>
      <w:r w:rsidRPr="00B75137">
        <w:rPr>
          <w:rFonts w:ascii="Times New Roman" w:eastAsia="Times New Roman" w:hAnsi="Times New Roman" w:cs="Times New Roman"/>
          <w:color w:val="222222"/>
          <w:sz w:val="24"/>
          <w:szCs w:val="24"/>
        </w:rPr>
        <w:t xml:space="preserve"> metabolic measurement system, and a 65" wall mounted HD TV. Equipment used for determining body composition includes an underwater weighing system, BOD POD, and Dual-Energy X-ray Absorptiometry (DEXA).</w:t>
      </w:r>
    </w:p>
    <w:p w:rsidR="005B4144" w:rsidRDefault="005B4144" w:rsidP="005B4144">
      <w:pPr>
        <w:shd w:val="clear" w:color="auto" w:fill="FFFFFF"/>
        <w:spacing w:after="0" w:line="240" w:lineRule="auto"/>
        <w:rPr>
          <w:rFonts w:ascii="Times New Roman" w:eastAsia="Times New Roman" w:hAnsi="Times New Roman" w:cs="Times New Roman"/>
          <w:color w:val="222222"/>
          <w:sz w:val="24"/>
          <w:szCs w:val="24"/>
        </w:rPr>
      </w:pPr>
      <w:r w:rsidRPr="00B75137">
        <w:rPr>
          <w:rFonts w:ascii="Times New Roman" w:eastAsia="Times New Roman" w:hAnsi="Times New Roman" w:cs="Times New Roman"/>
          <w:color w:val="222222"/>
          <w:sz w:val="24"/>
          <w:szCs w:val="24"/>
        </w:rPr>
        <w:t> </w:t>
      </w:r>
    </w:p>
    <w:p w:rsidR="005B4144" w:rsidRDefault="005B4144" w:rsidP="005B4144">
      <w:pPr>
        <w:spacing w:line="240" w:lineRule="auto"/>
        <w:rPr>
          <w:rFonts w:ascii="Times New Roman" w:hAnsi="Times New Roman" w:cs="Times New Roman"/>
          <w:sz w:val="24"/>
          <w:szCs w:val="24"/>
        </w:rPr>
      </w:pPr>
      <w:r w:rsidRPr="00B75137">
        <w:rPr>
          <w:rFonts w:ascii="Times New Roman" w:eastAsia="Times New Roman" w:hAnsi="Times New Roman" w:cs="Times New Roman"/>
          <w:color w:val="222222"/>
          <w:sz w:val="24"/>
          <w:szCs w:val="24"/>
          <w:u w:val="single"/>
          <w:shd w:val="clear" w:color="auto" w:fill="FFFFFF"/>
        </w:rPr>
        <w:t>Exercise Biochemistry Laboratory</w:t>
      </w:r>
      <w:r w:rsidRPr="00B75137">
        <w:rPr>
          <w:rFonts w:ascii="Times New Roman" w:eastAsia="Times New Roman" w:hAnsi="Times New Roman" w:cs="Times New Roman"/>
          <w:color w:val="222222"/>
          <w:sz w:val="24"/>
          <w:szCs w:val="24"/>
          <w:shd w:val="clear" w:color="auto" w:fill="FFFFFF"/>
        </w:rPr>
        <w:t xml:space="preserve">: This laboratory is 150 </w:t>
      </w:r>
      <w:proofErr w:type="spellStart"/>
      <w:r w:rsidRPr="00B75137">
        <w:rPr>
          <w:rFonts w:ascii="Times New Roman" w:eastAsia="Times New Roman" w:hAnsi="Times New Roman" w:cs="Times New Roman"/>
          <w:color w:val="222222"/>
          <w:sz w:val="24"/>
          <w:szCs w:val="24"/>
          <w:shd w:val="clear" w:color="auto" w:fill="FFFFFF"/>
        </w:rPr>
        <w:t>sq</w:t>
      </w:r>
      <w:proofErr w:type="spellEnd"/>
      <w:r w:rsidRPr="00B75137">
        <w:rPr>
          <w:rFonts w:ascii="Times New Roman" w:eastAsia="Times New Roman" w:hAnsi="Times New Roman" w:cs="Times New Roman"/>
          <w:color w:val="222222"/>
          <w:sz w:val="24"/>
          <w:szCs w:val="24"/>
          <w:shd w:val="clear" w:color="auto" w:fill="FFFFFF"/>
        </w:rPr>
        <w:t xml:space="preserve"> </w:t>
      </w:r>
      <w:proofErr w:type="spellStart"/>
      <w:r w:rsidRPr="00B75137">
        <w:rPr>
          <w:rFonts w:ascii="Times New Roman" w:eastAsia="Times New Roman" w:hAnsi="Times New Roman" w:cs="Times New Roman"/>
          <w:color w:val="222222"/>
          <w:sz w:val="24"/>
          <w:szCs w:val="24"/>
          <w:shd w:val="clear" w:color="auto" w:fill="FFFFFF"/>
        </w:rPr>
        <w:t>ft</w:t>
      </w:r>
      <w:proofErr w:type="spellEnd"/>
      <w:r w:rsidRPr="00B75137">
        <w:rPr>
          <w:rFonts w:ascii="Times New Roman" w:eastAsia="Times New Roman" w:hAnsi="Times New Roman" w:cs="Times New Roman"/>
          <w:color w:val="222222"/>
          <w:sz w:val="24"/>
          <w:szCs w:val="24"/>
          <w:shd w:val="clear" w:color="auto" w:fill="FFFFFF"/>
        </w:rPr>
        <w:t xml:space="preserve"> and includes an Epoch 96-well </w:t>
      </w:r>
      <w:proofErr w:type="spellStart"/>
      <w:r w:rsidRPr="00B75137">
        <w:rPr>
          <w:rFonts w:ascii="Times New Roman" w:eastAsia="Times New Roman" w:hAnsi="Times New Roman" w:cs="Times New Roman"/>
          <w:color w:val="222222"/>
          <w:sz w:val="24"/>
          <w:szCs w:val="24"/>
          <w:shd w:val="clear" w:color="auto" w:fill="FFFFFF"/>
        </w:rPr>
        <w:t>microtiter</w:t>
      </w:r>
      <w:proofErr w:type="spellEnd"/>
      <w:r w:rsidRPr="00B75137">
        <w:rPr>
          <w:rFonts w:ascii="Times New Roman" w:eastAsia="Times New Roman" w:hAnsi="Times New Roman" w:cs="Times New Roman"/>
          <w:color w:val="222222"/>
          <w:sz w:val="24"/>
          <w:szCs w:val="24"/>
          <w:shd w:val="clear" w:color="auto" w:fill="FFFFFF"/>
        </w:rPr>
        <w:t xml:space="preserve"> plate reader, Beckman refrigerated centrifuge, Eppendorf micro centrifuge, Revco -80 degree freezer, Air Science ductless fume hood, Precision reciprocal shaking water bath, </w:t>
      </w:r>
      <w:proofErr w:type="spellStart"/>
      <w:r w:rsidRPr="00B75137">
        <w:rPr>
          <w:rFonts w:ascii="Times New Roman" w:eastAsia="Times New Roman" w:hAnsi="Times New Roman" w:cs="Times New Roman"/>
          <w:color w:val="222222"/>
          <w:sz w:val="24"/>
          <w:szCs w:val="24"/>
          <w:shd w:val="clear" w:color="auto" w:fill="FFFFFF"/>
        </w:rPr>
        <w:t>Genesys</w:t>
      </w:r>
      <w:proofErr w:type="spellEnd"/>
      <w:r w:rsidRPr="00B75137">
        <w:rPr>
          <w:rFonts w:ascii="Times New Roman" w:eastAsia="Times New Roman" w:hAnsi="Times New Roman" w:cs="Times New Roman"/>
          <w:color w:val="222222"/>
          <w:sz w:val="24"/>
          <w:szCs w:val="24"/>
          <w:shd w:val="clear" w:color="auto" w:fill="FFFFFF"/>
        </w:rPr>
        <w:t xml:space="preserve"> Gamma-1 RIA gamma counter, and Barnstead Mega Pure water system.  </w:t>
      </w:r>
      <w:r>
        <w:rPr>
          <w:rFonts w:ascii="Times New Roman" w:eastAsia="Times New Roman" w:hAnsi="Times New Roman" w:cs="Times New Roman"/>
          <w:color w:val="222222"/>
          <w:sz w:val="24"/>
          <w:szCs w:val="24"/>
          <w:shd w:val="clear" w:color="auto" w:fill="FFFFFF"/>
        </w:rPr>
        <w:br/>
      </w:r>
    </w:p>
    <w:p w:rsidR="005B4144" w:rsidRPr="00CF7DC4" w:rsidRDefault="005B4144" w:rsidP="005B4144">
      <w:pPr>
        <w:spacing w:line="240" w:lineRule="auto"/>
        <w:rPr>
          <w:rFonts w:ascii="Times New Roman" w:hAnsi="Times New Roman" w:cs="Times New Roman"/>
          <w:sz w:val="24"/>
          <w:szCs w:val="24"/>
          <w:u w:val="single"/>
        </w:rPr>
      </w:pPr>
      <w:r w:rsidRPr="001663AC">
        <w:rPr>
          <w:rFonts w:ascii="Times New Roman" w:hAnsi="Times New Roman" w:cs="Times New Roman"/>
          <w:sz w:val="24"/>
          <w:szCs w:val="24"/>
          <w:u w:val="single"/>
        </w:rPr>
        <w:t>University of Nevada, Las Vegas (UNLV)</w:t>
      </w:r>
      <w:r w:rsidRPr="001663AC">
        <w:rPr>
          <w:rFonts w:ascii="Times New Roman" w:hAnsi="Times New Roman" w:cs="Times New Roman"/>
          <w:sz w:val="24"/>
          <w:szCs w:val="24"/>
        </w:rPr>
        <w:t>:</w:t>
      </w:r>
      <w:r w:rsidRPr="001663AC">
        <w:rPr>
          <w:rFonts w:ascii="Times New Roman" w:hAnsi="Times New Roman" w:cs="Times New Roman"/>
          <w:b/>
          <w:sz w:val="24"/>
          <w:szCs w:val="24"/>
        </w:rPr>
        <w:t xml:space="preserve"> </w:t>
      </w:r>
      <w:r w:rsidRPr="001663AC">
        <w:rPr>
          <w:rFonts w:ascii="Times New Roman" w:hAnsi="Times New Roman" w:cs="Times New Roman"/>
          <w:sz w:val="24"/>
          <w:szCs w:val="24"/>
        </w:rPr>
        <w:t xml:space="preserve">In 1957, UNLV opened its first classroom and administration building, with 41 students and three faculty members. In the past 50 years, the university has developed into the state’s largest comprehensive doctoral degree granting institution with approximately 28,000 students, 3,000 faculty and staff, and over 70 buildings. UNLV is one of eight institutions governed by the Nevada System of Higher Education. Nevada System of Higher Education enrolls more than 90,000 students in a broad array of programs throughout the state of Nevada. UNLV offers four undergraduate certificates and degrees in 105 majors and graduate degrees in 116 majors with graduate certificates in 10 others. UNLV is located on an attractive 335-acre campus in metropolitan Las Vegas. The University Libraries were established in 1957 and now include the main Lied Library and three branch libraries: (a) Architecture Studies, (b) Curriculum Materials, and (c) Music. Library services are extensive, with both physical and online resources with search and full-text retrieval. The library collection includes: (a) </w:t>
      </w:r>
      <w:r w:rsidRPr="001663AC">
        <w:rPr>
          <w:rFonts w:ascii="Times New Roman" w:eastAsia="MS Mincho" w:hAnsi="Times New Roman" w:cs="Times New Roman"/>
          <w:sz w:val="24"/>
          <w:szCs w:val="24"/>
          <w:lang w:eastAsia="ja-JP"/>
        </w:rPr>
        <w:t xml:space="preserve">1,000,000 monographs; (b) 8,500 serials subscriptions; (c) 12,000 serial titles accessible through aggregated databases; (d) over 170 electronic indexes, databases, or reference sources; (e) 27,000 media materials such as videos, music compact disks, DVDs, and audiocassettes; and (f) 1.5 million microforms. </w:t>
      </w:r>
      <w:r w:rsidRPr="001663AC">
        <w:rPr>
          <w:rFonts w:ascii="Times New Roman" w:hAnsi="Times New Roman" w:cs="Times New Roman"/>
          <w:sz w:val="24"/>
          <w:szCs w:val="24"/>
        </w:rPr>
        <w:t xml:space="preserve">The Carnegie Foundation categorizes UNLV as a “high research activity” institution. </w:t>
      </w:r>
    </w:p>
    <w:p w:rsidR="005B4144" w:rsidRPr="00B75137" w:rsidRDefault="005B4144" w:rsidP="005B4144">
      <w:pPr>
        <w:spacing w:before="100" w:beforeAutospacing="1" w:after="100" w:afterAutospacing="1" w:line="240" w:lineRule="auto"/>
        <w:ind w:right="302"/>
        <w:rPr>
          <w:rFonts w:ascii="Times New Roman" w:hAnsi="Times New Roman" w:cs="Times New Roman"/>
          <w:sz w:val="24"/>
          <w:szCs w:val="24"/>
        </w:rPr>
      </w:pPr>
      <w:r w:rsidRPr="001663AC">
        <w:rPr>
          <w:rFonts w:ascii="Times New Roman" w:hAnsi="Times New Roman" w:cs="Times New Roman"/>
          <w:sz w:val="24"/>
          <w:szCs w:val="24"/>
        </w:rPr>
        <w:t xml:space="preserve">UNLV is accredited by the Northwest Commission on Colleges and Universities. The Northwest region includes Alaska, Idaho, Montana, Nevada, Oregon, Utah, and Washington. </w:t>
      </w:r>
      <w:r w:rsidRPr="001663AC">
        <w:rPr>
          <w:rFonts w:ascii="Times New Roman" w:hAnsi="Times New Roman" w:cs="Times New Roman"/>
          <w:sz w:val="24"/>
          <w:szCs w:val="24"/>
        </w:rPr>
        <w:lastRenderedPageBreak/>
        <w:t>The university underwent a full-scale review in 2000 and its accreditation was reaffirmed by the association’s Commission on Colleges for 10 years. UNLV is also a member of the Coalition of Urban and Metropolitan Universities.</w:t>
      </w:r>
    </w:p>
    <w:p w:rsidR="005B4144" w:rsidRPr="001663AC" w:rsidRDefault="005B4144" w:rsidP="005B4144">
      <w:pPr>
        <w:spacing w:line="240" w:lineRule="auto"/>
        <w:rPr>
          <w:rFonts w:ascii="Times New Roman" w:hAnsi="Times New Roman" w:cs="Times New Roman"/>
          <w:b/>
          <w:sz w:val="24"/>
          <w:szCs w:val="24"/>
        </w:rPr>
      </w:pPr>
      <w:r w:rsidRPr="001663AC">
        <w:rPr>
          <w:rFonts w:ascii="Times New Roman" w:hAnsi="Times New Roman" w:cs="Times New Roman"/>
          <w:sz w:val="24"/>
          <w:szCs w:val="24"/>
          <w:u w:val="single"/>
        </w:rPr>
        <w:t>The School of Allied Health Sciences (SAHS)</w:t>
      </w:r>
      <w:r w:rsidRPr="001663AC">
        <w:rPr>
          <w:rFonts w:ascii="Times New Roman" w:hAnsi="Times New Roman" w:cs="Times New Roman"/>
          <w:sz w:val="24"/>
          <w:szCs w:val="24"/>
        </w:rPr>
        <w:t>: In 2003, the SAHS was formed as part of the Division of Health Sciences, which also includes the School of Community Health Sciences, School of Dentistry, and School of Nursing. The SAHS is committed to the enhancement of the body of allied health knowledge through research as well as the engagement of the faculty in service to the university, community, and profession. The SAHS accomplishes this by weaving together the highest quality educational and comprehensive clinical experiences for both undergraduate and graduate students. Additionally, SAHS faculty share the conviction of working industriously to extend the boundaries of knowledge through research and diligently seeking external funding, followed by translating our research results to practical applications, which benefit the health and wellness of all individuals.</w:t>
      </w:r>
    </w:p>
    <w:p w:rsidR="005B4144" w:rsidRPr="001663AC" w:rsidRDefault="005B4144" w:rsidP="005B4144">
      <w:pPr>
        <w:spacing w:line="240" w:lineRule="auto"/>
        <w:rPr>
          <w:rFonts w:ascii="Times New Roman" w:hAnsi="Times New Roman" w:cs="Times New Roman"/>
          <w:b/>
          <w:sz w:val="24"/>
          <w:szCs w:val="24"/>
        </w:rPr>
      </w:pPr>
      <w:r w:rsidRPr="001663AC">
        <w:rPr>
          <w:rFonts w:ascii="Times New Roman" w:hAnsi="Times New Roman" w:cs="Times New Roman"/>
          <w:sz w:val="24"/>
          <w:szCs w:val="24"/>
        </w:rPr>
        <w:t>The SAHS provides academic programs leading to professional specialization within the health science professions and the health care industry. Undergraduate offerings within the SAHS provide a foundation in the liberal arts and sciences. Each discipline emphasizes the development of professional competence through course work, which stresses the theoretical as well as the clinical aspects of the chosen field. Successful completion of a degree program provides a student with the knowledge and skills necessary to have a career in the health care industry in a variety of settings. In addition, the undergraduate programs prepare students for graduate study in their chosen disciplines.</w:t>
      </w:r>
    </w:p>
    <w:p w:rsidR="005B4144" w:rsidRPr="001663AC" w:rsidRDefault="005B4144" w:rsidP="005B4144">
      <w:pPr>
        <w:spacing w:line="240" w:lineRule="auto"/>
        <w:rPr>
          <w:rFonts w:ascii="Times New Roman" w:hAnsi="Times New Roman" w:cs="Times New Roman"/>
          <w:b/>
          <w:sz w:val="24"/>
          <w:szCs w:val="24"/>
        </w:rPr>
      </w:pPr>
      <w:r w:rsidRPr="001663AC">
        <w:rPr>
          <w:rFonts w:ascii="Times New Roman" w:hAnsi="Times New Roman" w:cs="Times New Roman"/>
          <w:sz w:val="24"/>
          <w:szCs w:val="24"/>
        </w:rPr>
        <w:t>Graduate offerings are available in the Departments of Health Physics and Diagnostic Sciences, Kinesiology and Nutrition Sciences, and Physical Therapy. These graduate programs prepare individuals to function in expanded roles and assume leadership positions in their chosen disciplines.</w:t>
      </w:r>
    </w:p>
    <w:p w:rsidR="005B4144" w:rsidRPr="001663AC" w:rsidRDefault="005B4144" w:rsidP="005B4144">
      <w:pPr>
        <w:spacing w:line="240" w:lineRule="auto"/>
        <w:rPr>
          <w:rFonts w:ascii="Times New Roman" w:hAnsi="Times New Roman" w:cs="Times New Roman"/>
          <w:b/>
          <w:sz w:val="24"/>
          <w:szCs w:val="24"/>
        </w:rPr>
      </w:pPr>
      <w:r w:rsidRPr="001663AC">
        <w:rPr>
          <w:rFonts w:ascii="Times New Roman" w:hAnsi="Times New Roman" w:cs="Times New Roman"/>
          <w:sz w:val="24"/>
          <w:szCs w:val="24"/>
        </w:rPr>
        <w:t xml:space="preserve">The clinical experiences required of students in both the undergraduate and graduate programs of most disciplines are unique to the school and require that faculty be able to teach in this dynamic environment. Students, with faculty guidance, spend significant hours in multiple courses practicing the skills learned in the didactic portions of their program. Faculty are required to develop distinct teaching skills for both the didactic and clinical arenas while adapting to the changing environment of a clinical health care setting. The health care system is constantly evolving and our academic programs are able to adapt to meet the clinical requirements of the next generation of health care providers. </w:t>
      </w:r>
    </w:p>
    <w:p w:rsidR="005B4144" w:rsidRPr="001663AC" w:rsidRDefault="005B4144" w:rsidP="005B4144">
      <w:pPr>
        <w:shd w:val="clear" w:color="auto" w:fill="FFFFFF"/>
        <w:spacing w:before="100" w:beforeAutospacing="1" w:after="100" w:afterAutospacing="1" w:line="240" w:lineRule="auto"/>
        <w:rPr>
          <w:rFonts w:ascii="Times New Roman" w:hAnsi="Times New Roman" w:cs="Times New Roman"/>
          <w:sz w:val="24"/>
          <w:szCs w:val="24"/>
        </w:rPr>
      </w:pPr>
      <w:r w:rsidRPr="001663AC">
        <w:rPr>
          <w:rFonts w:ascii="Times New Roman" w:hAnsi="Times New Roman" w:cs="Times New Roman"/>
          <w:sz w:val="24"/>
          <w:szCs w:val="24"/>
          <w:u w:val="single"/>
        </w:rPr>
        <w:t>Scholarship</w:t>
      </w:r>
      <w:r w:rsidRPr="001663AC">
        <w:rPr>
          <w:rFonts w:ascii="Times New Roman" w:hAnsi="Times New Roman" w:cs="Times New Roman"/>
          <w:sz w:val="24"/>
          <w:szCs w:val="24"/>
        </w:rPr>
        <w:t xml:space="preserve">: UNLV has a Division of Research and Graduate Studies and an Office of Sponsored Programs to assist faculty researchers in preparing proposals and managing grants. The SAHS is committed to developing and promoting scholarships in the field of Allied Health Sciences. An Office for Research Support provides support to faculty in a 1,285-square-foot office space is located approximately 200 feet from the Bigelow Health Sciences Building and houses the Associate Dean for Research, a Research Administrative Assistant, Budget Officer, and Graduate Assistant. Also, the SAHS supports about 25-30 Graduate Assistantships each year. </w:t>
      </w:r>
    </w:p>
    <w:p w:rsidR="005B4144" w:rsidRPr="001663AC" w:rsidRDefault="005B4144" w:rsidP="005B4144">
      <w:pPr>
        <w:spacing w:line="240" w:lineRule="auto"/>
        <w:rPr>
          <w:rFonts w:ascii="Times New Roman" w:hAnsi="Times New Roman" w:cs="Times New Roman"/>
          <w:sz w:val="24"/>
          <w:szCs w:val="24"/>
        </w:rPr>
      </w:pPr>
      <w:r w:rsidRPr="001663AC">
        <w:rPr>
          <w:rFonts w:ascii="Times New Roman" w:hAnsi="Times New Roman" w:cs="Times New Roman"/>
          <w:sz w:val="24"/>
          <w:szCs w:val="24"/>
          <w:u w:val="single"/>
        </w:rPr>
        <w:lastRenderedPageBreak/>
        <w:t>Department of Kinesiology and Nutrition Sciences</w:t>
      </w:r>
      <w:r w:rsidRPr="001663AC">
        <w:rPr>
          <w:rFonts w:ascii="Times New Roman" w:hAnsi="Times New Roman" w:cs="Times New Roman"/>
          <w:sz w:val="24"/>
          <w:szCs w:val="24"/>
        </w:rPr>
        <w:t>: Housed in the Bigelow Health Sciences Building, the Department of Kinesiology and Nutrition Sciences offers undergraduate and graduate degrees. The degree programs in Kinesiology are designed to integrate theory and practice in order to prepare the student to apply content-area principles in public and private agencies as well as to prepare the student for advanced study in this area. Bachelor of Science degree program tracks include Athletic Training or broad-based study in Kinesiology. Students in the Athletic Training track are prepared for a career in treatment and prevention of athletic injuries. Students in the Kinesiology track explore biomechanical, physiological, and psychosocial aspects of human movement and performance.</w:t>
      </w:r>
    </w:p>
    <w:p w:rsidR="005B4144" w:rsidRPr="0091685A" w:rsidRDefault="005B4144" w:rsidP="005B4144">
      <w:pPr>
        <w:spacing w:line="240" w:lineRule="auto"/>
        <w:rPr>
          <w:rFonts w:ascii="Times New Roman" w:hAnsi="Times New Roman" w:cs="Times New Roman"/>
          <w:sz w:val="24"/>
          <w:szCs w:val="24"/>
        </w:rPr>
      </w:pPr>
      <w:r w:rsidRPr="001663AC">
        <w:rPr>
          <w:rFonts w:ascii="Times New Roman" w:hAnsi="Times New Roman" w:cs="Times New Roman"/>
          <w:sz w:val="24"/>
          <w:szCs w:val="24"/>
        </w:rPr>
        <w:t>The graduate programs in Kinesiology and Nutrition Sciences provide students with the theory, knowledge, and skills necessary to apply the principles of human movement in a variety of community, research, clinical, or athletic settings, or to pursue advanced study at the doctoral level. The Master of Science and Doctoral of Philosophy degree programs offer students a choice of preparation and opportunities to specialize in biomechanics, exercise physiology, motor learning/motor control, physical activity policy, and sports medicine.</w:t>
      </w:r>
    </w:p>
    <w:p w:rsidR="00034E89" w:rsidRDefault="00034E89">
      <w:bookmarkStart w:id="0" w:name="_GoBack"/>
      <w:bookmarkEnd w:id="0"/>
    </w:p>
    <w:sectPr w:rsidR="00034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44"/>
    <w:rsid w:val="00034E89"/>
    <w:rsid w:val="005B4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12D160-119B-4A27-A064-B5599F42F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144"/>
    <w:pPr>
      <w:spacing w:line="36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Nevada, Las Vegas</Company>
  <LinksUpToDate>false</LinksUpToDate>
  <CharactersWithSpaces>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Mercer</dc:creator>
  <cp:keywords/>
  <dc:description/>
  <cp:lastModifiedBy>John Mercer</cp:lastModifiedBy>
  <cp:revision>1</cp:revision>
  <dcterms:created xsi:type="dcterms:W3CDTF">2017-07-26T21:58:00Z</dcterms:created>
  <dcterms:modified xsi:type="dcterms:W3CDTF">2017-07-26T21:58:00Z</dcterms:modified>
</cp:coreProperties>
</file>